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7547" w14:textId="77777777" w:rsidR="00EF39D8" w:rsidRPr="00EF39D8" w:rsidRDefault="00EF39D8" w:rsidP="00EF39D8">
      <w:pPr>
        <w:spacing w:after="100" w:afterAutospacing="1" w:line="240" w:lineRule="auto"/>
        <w:outlineLvl w:val="0"/>
        <w:rPr>
          <w:rFonts w:ascii="Titillium Web" w:eastAsia="Times New Roman" w:hAnsi="Titillium Web" w:cs="Times New Roman"/>
          <w:b/>
          <w:bCs/>
          <w:color w:val="1C2024"/>
          <w:kern w:val="36"/>
          <w:sz w:val="48"/>
          <w:szCs w:val="48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b/>
          <w:bCs/>
          <w:color w:val="1C2024"/>
          <w:kern w:val="36"/>
          <w:sz w:val="48"/>
          <w:szCs w:val="48"/>
          <w:lang w:eastAsia="it-IT"/>
          <w14:ligatures w14:val="none"/>
        </w:rPr>
        <w:t>PNRR – Piano Nazionale di Ripresa e Resilienza</w:t>
      </w:r>
    </w:p>
    <w:p w14:paraId="10963BED" w14:textId="1CEE21BE" w:rsidR="0088788E" w:rsidRDefault="00EF39D8" w:rsidP="00EF39D8">
      <w:pPr>
        <w:spacing w:after="100" w:afterAutospacing="1" w:line="240" w:lineRule="auto"/>
        <w:rPr>
          <w:rFonts w:ascii="Titillium Web" w:eastAsia="Times New Roman" w:hAnsi="Titillium Web" w:cs="Times New Roman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  <w:t xml:space="preserve">PNRR – Piano Nazionale di Ripresa </w:t>
      </w:r>
      <w:r w:rsidR="0088788E">
        <w:rPr>
          <w:rFonts w:ascii="Titillium Web" w:eastAsia="Times New Roman" w:hAnsi="Titillium Web" w:cs="Times New Roman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  <w:t>e resilienza</w:t>
      </w:r>
    </w:p>
    <w:p w14:paraId="6FF5AC0A" w14:textId="77777777" w:rsidR="0088788E" w:rsidRDefault="0088788E" w:rsidP="00EF39D8">
      <w:pPr>
        <w:spacing w:after="100" w:afterAutospacing="1" w:line="240" w:lineRule="auto"/>
        <w:rPr>
          <w:rFonts w:ascii="Titillium Web" w:eastAsia="Times New Roman" w:hAnsi="Titillium Web" w:cs="Times New Roman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</w:pPr>
    </w:p>
    <w:p w14:paraId="129AF771" w14:textId="3ED5E834" w:rsidR="00EF39D8" w:rsidRPr="00EF39D8" w:rsidRDefault="0088788E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  <w:t xml:space="preserve"> </w:t>
      </w:r>
      <w:r w:rsidR="00EF39D8" w:rsidRPr="00EF39D8">
        <w:rPr>
          <w:rFonts w:ascii="Titillium Web" w:eastAsia="Times New Roman" w:hAnsi="Titillium Web" w:cs="Times New Roman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  <w:t>                                  </w:t>
      </w:r>
      <w:r w:rsidR="00EF39D8" w:rsidRPr="00EF39D8">
        <w:rPr>
          <w:rFonts w:ascii="Titillium Web" w:eastAsia="Times New Roman" w:hAnsi="Titillium Web" w:cs="Times New Roman"/>
          <w:b/>
          <w:bCs/>
          <w:noProof/>
          <w:color w:val="000000"/>
          <w:spacing w:val="2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08A73214" wp14:editId="1138CF42">
            <wp:extent cx="2857500" cy="714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6AF0" w14:textId="77777777" w:rsidR="00EF39D8" w:rsidRPr="00EF39D8" w:rsidRDefault="00EF39D8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 </w:t>
      </w:r>
    </w:p>
    <w:p w14:paraId="29FA5E91" w14:textId="77777777" w:rsidR="00EF39D8" w:rsidRPr="00EF39D8" w:rsidRDefault="00EF39D8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Il </w:t>
      </w:r>
      <w:r w:rsidRPr="00EF39D8">
        <w:rPr>
          <w:rFonts w:ascii="Titillium Web" w:eastAsia="Times New Roman" w:hAnsi="Titillium Web" w:cs="Times New Roman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  <w:t>Piano Nazionale di Ripresa e Resilienza </w:t>
      </w:r>
      <w:r w:rsidRPr="00EF39D8"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(PNRR) prevede un pacchetto di investimenti e riforme articolato in sei missioni. Il Piano promuove un’ambiziosa agenda di riforme, e in particolare, le quattro principali riguardano:</w:t>
      </w:r>
    </w:p>
    <w:p w14:paraId="050AB14D" w14:textId="77777777" w:rsidR="00EF39D8" w:rsidRPr="00EF39D8" w:rsidRDefault="00EF39D8" w:rsidP="00EF3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  <w:t>pubblica amministrazione</w:t>
      </w:r>
    </w:p>
    <w:p w14:paraId="06409B89" w14:textId="77777777" w:rsidR="00EF39D8" w:rsidRPr="00EF39D8" w:rsidRDefault="00EF39D8" w:rsidP="00EF3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  <w:t>giustizia</w:t>
      </w:r>
    </w:p>
    <w:p w14:paraId="779B91F6" w14:textId="77777777" w:rsidR="00EF39D8" w:rsidRPr="00EF39D8" w:rsidRDefault="00EF39D8" w:rsidP="00EF3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  <w:t>semplificazione</w:t>
      </w:r>
    </w:p>
    <w:p w14:paraId="263B773D" w14:textId="77777777" w:rsidR="00EF39D8" w:rsidRPr="00EF39D8" w:rsidRDefault="00EF39D8" w:rsidP="00EF39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  <w:t>competitività</w:t>
      </w:r>
    </w:p>
    <w:p w14:paraId="525A3627" w14:textId="77777777" w:rsidR="00EF39D8" w:rsidRPr="00EF39D8" w:rsidRDefault="00EF39D8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Il Piano è in piena coerenza con i sei pilastri del </w:t>
      </w:r>
      <w:r w:rsidRPr="00EF39D8">
        <w:rPr>
          <w:rFonts w:ascii="Titillium Web" w:eastAsia="Times New Roman" w:hAnsi="Titillium Web" w:cs="Times New Roman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  <w:t>Next Generation EU </w:t>
      </w:r>
      <w:r w:rsidRPr="00EF39D8"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riguardo alle quote d’investimento previste per i progetti green (37%) e digitali (20%).</w:t>
      </w:r>
    </w:p>
    <w:p w14:paraId="69DC4B96" w14:textId="3F0371A7" w:rsidR="00EF39D8" w:rsidRPr="00EF39D8" w:rsidRDefault="00EF39D8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Le risorse stanziate nel PNRR sono ripartite in sei missioni:</w:t>
      </w:r>
    </w:p>
    <w:p w14:paraId="434C9607" w14:textId="022BEF16" w:rsidR="00EF39D8" w:rsidRPr="00EF39D8" w:rsidRDefault="00EF39D8" w:rsidP="00EF39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  <w:t xml:space="preserve">Digitalizzazione, innovazione, competitività e cultura </w:t>
      </w:r>
    </w:p>
    <w:p w14:paraId="6C2470E5" w14:textId="199AEC7B" w:rsidR="00EF39D8" w:rsidRPr="00EF39D8" w:rsidRDefault="00EF39D8" w:rsidP="00EF39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  <w:t xml:space="preserve">Rivoluzione verde e transizione ecologica </w:t>
      </w:r>
    </w:p>
    <w:p w14:paraId="4D0BDFAD" w14:textId="479ED174" w:rsidR="00EF39D8" w:rsidRPr="00EF39D8" w:rsidRDefault="00EF39D8" w:rsidP="00EF39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  <w:t xml:space="preserve">Infrastrutture per una mobilità sostenibile </w:t>
      </w:r>
    </w:p>
    <w:p w14:paraId="5B90CBA2" w14:textId="4660ED27" w:rsidR="00EF39D8" w:rsidRPr="00EF39D8" w:rsidRDefault="00EF39D8" w:rsidP="00EF39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  <w:t xml:space="preserve">Istruzione e ricerca </w:t>
      </w:r>
    </w:p>
    <w:p w14:paraId="5CE0F33F" w14:textId="5AFCA57C" w:rsidR="00EF39D8" w:rsidRPr="00EF39D8" w:rsidRDefault="00EF39D8" w:rsidP="00EF39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  <w:t xml:space="preserve">Inclusione e coesione </w:t>
      </w:r>
    </w:p>
    <w:p w14:paraId="3CE09938" w14:textId="29655C71" w:rsidR="00EF39D8" w:rsidRPr="00EF39D8" w:rsidRDefault="00EF39D8" w:rsidP="00EF39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</w:pPr>
      <w:r w:rsidRPr="00EF39D8">
        <w:rPr>
          <w:rFonts w:ascii="Titillium Web" w:eastAsia="Times New Roman" w:hAnsi="Titillium Web" w:cs="Times New Roman"/>
          <w:color w:val="1C2024"/>
          <w:spacing w:val="2"/>
          <w:kern w:val="0"/>
          <w:sz w:val="27"/>
          <w:szCs w:val="27"/>
          <w:lang w:eastAsia="it-IT"/>
          <w14:ligatures w14:val="none"/>
        </w:rPr>
        <w:t xml:space="preserve">Salute </w:t>
      </w:r>
    </w:p>
    <w:p w14:paraId="1686B883" w14:textId="3BFDE246" w:rsidR="00EF39D8" w:rsidRDefault="00630F8B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Al Comune di Cavallermaggiore sono stati attribuiti i seguenti finanziamenti:</w:t>
      </w:r>
    </w:p>
    <w:p w14:paraId="0FD7AAD2" w14:textId="0DD9C6B4" w:rsidR="00630F8B" w:rsidRDefault="00630F8B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lastRenderedPageBreak/>
        <w:t xml:space="preserve">Misura 1.4.5 Notifiche </w:t>
      </w:r>
      <w:proofErr w:type="gramStart"/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 xml:space="preserve">Digitali  </w:t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proofErr w:type="gramEnd"/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  <w:t>euro   32.589,00</w:t>
      </w:r>
    </w:p>
    <w:p w14:paraId="21953633" w14:textId="0726057E" w:rsidR="00630F8B" w:rsidRDefault="00630F8B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 xml:space="preserve">Misura 1.4.1 Esperienza del cittadino </w:t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  <w:t>euro 155.234,00</w:t>
      </w:r>
    </w:p>
    <w:p w14:paraId="3DD4021D" w14:textId="19E0B1AE" w:rsidR="00630F8B" w:rsidRDefault="00630F8B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Misura 1.4.4 Spid CIE</w:t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  <w:t>euro   14.000,00</w:t>
      </w:r>
    </w:p>
    <w:p w14:paraId="7CBED859" w14:textId="5B1162BB" w:rsidR="00630F8B" w:rsidRDefault="00630F8B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Misura 1.3.1 – Piattaforma digitale dati</w:t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  <w:t>euro   20.344,00</w:t>
      </w:r>
    </w:p>
    <w:p w14:paraId="7F25E6B3" w14:textId="19A68397" w:rsidR="00630F8B" w:rsidRDefault="00630F8B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Misura 1.4.3 – App io</w:t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  <w:t>euro      4.802,00</w:t>
      </w:r>
    </w:p>
    <w:p w14:paraId="0941BADC" w14:textId="58801C4B" w:rsidR="00630F8B" w:rsidRDefault="00630F8B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Misura 1.2 – Cloud</w:t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  <w:t>euro 115.064,00</w:t>
      </w:r>
    </w:p>
    <w:p w14:paraId="7D3FC05B" w14:textId="5B023870" w:rsidR="00630F8B" w:rsidRPr="00EF39D8" w:rsidRDefault="00630F8B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>Misura 1.4.3 – Pago Pa</w:t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</w:r>
      <w:r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  <w:tab/>
        <w:t>euro    18.854,00</w:t>
      </w:r>
    </w:p>
    <w:p w14:paraId="6047B536" w14:textId="3AA5390D" w:rsidR="00EF39D8" w:rsidRPr="00EF39D8" w:rsidRDefault="00EF39D8" w:rsidP="00EF39D8">
      <w:pPr>
        <w:spacing w:after="100" w:afterAutospacing="1" w:line="240" w:lineRule="auto"/>
        <w:rPr>
          <w:rFonts w:ascii="Titillium Web" w:eastAsia="Times New Roman" w:hAnsi="Titillium Web" w:cs="Times New Roman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</w:p>
    <w:p w14:paraId="104B3F76" w14:textId="61F139FF" w:rsidR="00950416" w:rsidRDefault="00950416"/>
    <w:sectPr w:rsidR="004B0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30E"/>
    <w:multiLevelType w:val="multilevel"/>
    <w:tmpl w:val="DE0E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121CEB"/>
    <w:multiLevelType w:val="multilevel"/>
    <w:tmpl w:val="3C34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124EA"/>
    <w:multiLevelType w:val="multilevel"/>
    <w:tmpl w:val="B0F4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24A65"/>
    <w:multiLevelType w:val="multilevel"/>
    <w:tmpl w:val="9F4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5841329">
    <w:abstractNumId w:val="3"/>
  </w:num>
  <w:num w:numId="2" w16cid:durableId="531574329">
    <w:abstractNumId w:val="0"/>
  </w:num>
  <w:num w:numId="3" w16cid:durableId="1884756441">
    <w:abstractNumId w:val="1"/>
  </w:num>
  <w:num w:numId="4" w16cid:durableId="1437752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D8"/>
    <w:rsid w:val="00136F08"/>
    <w:rsid w:val="006144DB"/>
    <w:rsid w:val="00630F8B"/>
    <w:rsid w:val="0088788E"/>
    <w:rsid w:val="00A501CF"/>
    <w:rsid w:val="00CA2980"/>
    <w:rsid w:val="00E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4CBF"/>
  <w15:chartTrackingRefBased/>
  <w15:docId w15:val="{1AEDE7E4-55CB-4D52-8192-7BC4088B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Responsabile Area Finanziaria</dc:creator>
  <cp:keywords/>
  <dc:description/>
  <cp:lastModifiedBy>Responsabile Area Finanziaria</cp:lastModifiedBy>
  <cp:revision>2</cp:revision>
  <dcterms:created xsi:type="dcterms:W3CDTF">2024-03-11T10:32:00Z</dcterms:created>
  <dcterms:modified xsi:type="dcterms:W3CDTF">2024-03-11T10:32:00Z</dcterms:modified>
</cp:coreProperties>
</file>